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00" w:line="276" w:lineRule="auto"/>
        <w:jc w:val="left"/>
        <w:rPr>
          <w:rFonts w:ascii="宋体"/>
          <w:sz w:val="36"/>
          <w:szCs w:val="36"/>
        </w:rPr>
      </w:pPr>
      <w:bookmarkStart w:id="0" w:name="_GoBack"/>
      <w:bookmarkEnd w:id="0"/>
      <w:r>
        <w:rPr>
          <w:rFonts w:hint="eastAsia" w:ascii="宋体"/>
          <w:sz w:val="36"/>
          <w:szCs w:val="36"/>
        </w:rPr>
        <w:t>附件</w:t>
      </w:r>
      <w:r>
        <w:rPr>
          <w:rFonts w:hint="eastAsia" w:ascii="宋体"/>
          <w:sz w:val="36"/>
          <w:szCs w:val="36"/>
          <w:lang w:val="en-US" w:eastAsia="zh-CN"/>
        </w:rPr>
        <w:t>1</w:t>
      </w:r>
    </w:p>
    <w:p>
      <w:pPr>
        <w:spacing w:line="480" w:lineRule="exact"/>
        <w:ind w:firstLine="720" w:firstLineChars="200"/>
        <w:jc w:val="center"/>
        <w:rPr>
          <w:rFonts w:ascii="宋体"/>
          <w:sz w:val="36"/>
          <w:szCs w:val="36"/>
        </w:rPr>
      </w:pPr>
      <w:r>
        <w:rPr>
          <w:rFonts w:hint="eastAsia" w:ascii="宋体"/>
          <w:sz w:val="36"/>
          <w:szCs w:val="36"/>
        </w:rPr>
        <w:t>《高等职业教育创新发展行动计划（</w:t>
      </w:r>
      <w:r>
        <w:rPr>
          <w:rFonts w:ascii="宋体"/>
          <w:sz w:val="36"/>
          <w:szCs w:val="36"/>
        </w:rPr>
        <w:t>2015-2018</w:t>
      </w:r>
      <w:r>
        <w:rPr>
          <w:rFonts w:hint="eastAsia" w:ascii="宋体"/>
          <w:sz w:val="36"/>
          <w:szCs w:val="36"/>
        </w:rPr>
        <w:t>年）》承接任务与项目一览表</w:t>
      </w:r>
    </w:p>
    <w:p>
      <w:pPr>
        <w:rPr>
          <w:rFonts w:eastAsia="仿宋_GB2312"/>
        </w:rPr>
      </w:pPr>
    </w:p>
    <w:p/>
    <w:tbl>
      <w:tblPr>
        <w:tblStyle w:val="5"/>
        <w:tblW w:w="14991" w:type="dxa"/>
        <w:tblInd w:w="0" w:type="dxa"/>
        <w:tblLayout w:type="fixed"/>
        <w:tblCellMar>
          <w:top w:w="0" w:type="dxa"/>
          <w:left w:w="108" w:type="dxa"/>
          <w:bottom w:w="0" w:type="dxa"/>
          <w:right w:w="108" w:type="dxa"/>
        </w:tblCellMar>
      </w:tblPr>
      <w:tblGrid>
        <w:gridCol w:w="1137"/>
        <w:gridCol w:w="3366"/>
        <w:gridCol w:w="5244"/>
        <w:gridCol w:w="5244"/>
      </w:tblGrid>
      <w:tr>
        <w:tblPrEx>
          <w:tblLayout w:type="fixed"/>
          <w:tblCellMar>
            <w:top w:w="0" w:type="dxa"/>
            <w:left w:w="108" w:type="dxa"/>
            <w:bottom w:w="0" w:type="dxa"/>
            <w:right w:w="108" w:type="dxa"/>
          </w:tblCellMar>
        </w:tblPrEx>
        <w:trPr>
          <w:trHeight w:val="437" w:hRule="atLeast"/>
        </w:trPr>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after="200" w:line="240" w:lineRule="atLeast"/>
              <w:jc w:val="center"/>
              <w:rPr>
                <w:rFonts w:eastAsia="黑体"/>
                <w:color w:val="000000"/>
                <w:sz w:val="24"/>
              </w:rPr>
            </w:pPr>
            <w:r>
              <w:rPr>
                <w:rFonts w:hint="eastAsia" w:eastAsia="黑体"/>
                <w:color w:val="000000"/>
                <w:sz w:val="24"/>
              </w:rPr>
              <w:t>序号</w:t>
            </w:r>
          </w:p>
        </w:tc>
        <w:tc>
          <w:tcPr>
            <w:tcW w:w="336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200" w:line="240" w:lineRule="atLeast"/>
              <w:jc w:val="center"/>
              <w:rPr>
                <w:rFonts w:eastAsia="黑体"/>
                <w:color w:val="000000"/>
                <w:sz w:val="24"/>
              </w:rPr>
            </w:pPr>
            <w:r>
              <w:rPr>
                <w:rFonts w:hint="eastAsia" w:eastAsia="黑体"/>
                <w:color w:val="000000"/>
                <w:sz w:val="24"/>
              </w:rPr>
              <w:t>工作任务</w:t>
            </w:r>
          </w:p>
        </w:tc>
        <w:tc>
          <w:tcPr>
            <w:tcW w:w="524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200" w:line="240" w:lineRule="atLeast"/>
              <w:jc w:val="center"/>
              <w:rPr>
                <w:rFonts w:eastAsia="黑体"/>
                <w:color w:val="000000"/>
                <w:sz w:val="24"/>
              </w:rPr>
            </w:pPr>
            <w:r>
              <w:rPr>
                <w:rFonts w:hint="eastAsia" w:eastAsia="黑体"/>
                <w:color w:val="000000"/>
                <w:sz w:val="24"/>
              </w:rPr>
              <w:t>报送要点</w:t>
            </w:r>
          </w:p>
        </w:tc>
        <w:tc>
          <w:tcPr>
            <w:tcW w:w="5244" w:type="dxa"/>
            <w:tcBorders>
              <w:top w:val="single" w:color="auto" w:sz="4" w:space="0"/>
              <w:left w:val="nil"/>
              <w:bottom w:val="single" w:color="auto" w:sz="4" w:space="0"/>
              <w:right w:val="single" w:color="auto" w:sz="4" w:space="0"/>
            </w:tcBorders>
            <w:shd w:val="clear" w:color="auto" w:fill="FFFFFF"/>
            <w:vAlign w:val="top"/>
          </w:tcPr>
          <w:p>
            <w:pPr>
              <w:adjustRightInd w:val="0"/>
              <w:snapToGrid w:val="0"/>
              <w:spacing w:after="200" w:line="240" w:lineRule="atLeast"/>
              <w:jc w:val="center"/>
              <w:rPr>
                <w:rFonts w:hint="eastAsia" w:eastAsia="黑体"/>
                <w:color w:val="000000"/>
                <w:sz w:val="24"/>
              </w:rPr>
            </w:pPr>
            <w:r>
              <w:rPr>
                <w:rFonts w:hint="eastAsia" w:eastAsia="黑体"/>
                <w:color w:val="000000"/>
                <w:sz w:val="24"/>
              </w:rPr>
              <w:t>责任部门</w:t>
            </w:r>
          </w:p>
        </w:tc>
      </w:tr>
      <w:tr>
        <w:tblPrEx>
          <w:tblLayout w:type="fixed"/>
          <w:tblCellMar>
            <w:top w:w="0" w:type="dxa"/>
            <w:left w:w="108" w:type="dxa"/>
            <w:bottom w:w="0" w:type="dxa"/>
            <w:right w:w="108" w:type="dxa"/>
          </w:tblCellMar>
        </w:tblPrEx>
        <w:trPr>
          <w:trHeight w:val="669" w:hRule="atLeast"/>
        </w:trPr>
        <w:tc>
          <w:tcPr>
            <w:tcW w:w="1499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after="200" w:line="240" w:lineRule="atLeast"/>
              <w:jc w:val="center"/>
              <w:rPr>
                <w:rFonts w:eastAsia="黑体"/>
                <w:color w:val="000000"/>
                <w:sz w:val="24"/>
              </w:rPr>
            </w:pPr>
            <w:r>
              <w:rPr>
                <w:rFonts w:hint="eastAsia" w:eastAsia="黑体"/>
                <w:color w:val="000000"/>
                <w:sz w:val="24"/>
              </w:rPr>
              <w:t>一、扩大优质教育资源</w:t>
            </w: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RW-1</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加强与信誉良好的国际组织、跨国企业以及职业教育发达国家开展交流与合作</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支持开展合作交流的政策措施；</w:t>
            </w:r>
            <w:r>
              <w:rPr>
                <w:rFonts w:hint="eastAsia" w:eastAsia="仿宋_GB2312"/>
                <w:sz w:val="24"/>
              </w:rPr>
              <w:t>各级</w:t>
            </w:r>
            <w:r>
              <w:rPr>
                <w:rFonts w:hint="eastAsia" w:eastAsia="仿宋_GB2312"/>
                <w:color w:val="000000"/>
                <w:sz w:val="24"/>
              </w:rPr>
              <w:t>财政资金支持力度</w:t>
            </w:r>
            <w:r>
              <w:rPr>
                <w:rFonts w:hint="eastAsia" w:eastAsia="仿宋_GB2312"/>
                <w:sz w:val="24"/>
              </w:rPr>
              <w:t>；</w:t>
            </w:r>
            <w:r>
              <w:rPr>
                <w:rFonts w:hint="eastAsia" w:eastAsia="仿宋_GB2312"/>
                <w:color w:val="000000"/>
                <w:sz w:val="24"/>
              </w:rPr>
              <w:t>与各国家（地区）、国际组织、跨国企业、科研机构及院校等开展国际交流合作项目情况，参加国际会议、讲学、学术访问与交流情况，出国（境）进修及留学情况，引进国外专家和教师、接收国外留学生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成教院</w:t>
            </w: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RW-2</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学习和引进国际先进成熟适用的职业标准、专业课程、教材体系和数字化教育资源</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引进国际先进职业标准、专业课程、教材体系、数字化教育资源等情况；专业覆盖及受益学生情况，促进教学改革成效等。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教务处</w:t>
            </w: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RW-3</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选择类型相同、专业相近的国（境）外高水平院校联合开发课程，共建专业、实验室或实训基地，建立教师交流、学生交换、学分互认等合作关系</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rPr>
            </w:pPr>
            <w:r>
              <w:rPr>
                <w:rFonts w:hint="eastAsia" w:eastAsia="仿宋_GB2312"/>
                <w:color w:val="000000"/>
                <w:sz w:val="24"/>
              </w:rPr>
              <w:t>支持高职院校与国（境）外高水平院校开展校际合作的政策措施；校际联合开发课程情况，共建专业、实验室或实训基地情况；校际教师交流、学生交换、学分互认情况，合作办学项目证书颁发情况等。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教务处</w:t>
            </w: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RW-5</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举办高水平中外合作办学项目和机构</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支持高水平中外合作办学的政策措施；中外合作办学项目和机构情况等。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成教院</w:t>
            </w: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RW-6</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完善以老带新的青年教师培养机制；建立教师轮训制度；专业教师每五年企业实践时间累计不少于</w:t>
            </w:r>
            <w:r>
              <w:rPr>
                <w:rFonts w:eastAsia="仿宋_GB2312"/>
                <w:color w:val="000000"/>
                <w:sz w:val="24"/>
              </w:rPr>
              <w:t>6</w:t>
            </w:r>
            <w:r>
              <w:rPr>
                <w:rFonts w:hint="eastAsia" w:eastAsia="仿宋_GB2312"/>
                <w:color w:val="000000"/>
                <w:sz w:val="24"/>
              </w:rPr>
              <w:t>个月</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rPr>
            </w:pPr>
            <w:r>
              <w:rPr>
                <w:rFonts w:hint="eastAsia" w:eastAsia="仿宋_GB2312"/>
                <w:sz w:val="24"/>
              </w:rPr>
              <w:t>师资队伍建设规划与实施方案；以老带新的青年教师培养机制建设情况；专业教师企业实践考核标准制定及落实情况；专业教师每五年企业实践时间累计不少于</w:t>
            </w:r>
            <w:r>
              <w:rPr>
                <w:rFonts w:eastAsia="仿宋_GB2312"/>
                <w:sz w:val="24"/>
              </w:rPr>
              <w:t>6</w:t>
            </w:r>
            <w:r>
              <w:rPr>
                <w:rFonts w:hint="eastAsia" w:eastAsia="仿宋_GB2312"/>
                <w:sz w:val="24"/>
              </w:rPr>
              <w:t>个月要求的落实情况等。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sz w:val="24"/>
              </w:rPr>
            </w:pPr>
            <w:r>
              <w:rPr>
                <w:rFonts w:hint="eastAsia" w:eastAsia="仿宋_GB2312"/>
                <w:sz w:val="24"/>
              </w:rPr>
              <w:t>人事处</w:t>
            </w:r>
          </w:p>
        </w:tc>
      </w:tr>
      <w:tr>
        <w:tblPrEx>
          <w:tblLayout w:type="fixed"/>
          <w:tblCellMar>
            <w:top w:w="0" w:type="dxa"/>
            <w:left w:w="108" w:type="dxa"/>
            <w:bottom w:w="0" w:type="dxa"/>
            <w:right w:w="108" w:type="dxa"/>
          </w:tblCellMar>
        </w:tblPrEx>
        <w:trPr>
          <w:trHeight w:val="346"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RW-7</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高等职业院校专业骨干教师国家级、省级培训计划</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rPr>
            </w:pPr>
            <w:r>
              <w:rPr>
                <w:rFonts w:hint="eastAsia" w:eastAsia="仿宋_GB2312"/>
                <w:sz w:val="24"/>
              </w:rPr>
              <w:t>专业骨干教师培训规划与实施方案；各级</w:t>
            </w:r>
            <w:r>
              <w:rPr>
                <w:rFonts w:hint="eastAsia" w:eastAsia="仿宋_GB2312"/>
                <w:color w:val="000000"/>
                <w:sz w:val="24"/>
              </w:rPr>
              <w:t>财政资金支持力度</w:t>
            </w:r>
            <w:r>
              <w:rPr>
                <w:rFonts w:hint="eastAsia" w:eastAsia="仿宋_GB2312"/>
                <w:sz w:val="24"/>
              </w:rPr>
              <w:t>；专业骨干教师培训情况；取得国家级（省级）培训证书、职业资格证书的情况等。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sz w:val="24"/>
              </w:rPr>
            </w:pPr>
            <w:r>
              <w:rPr>
                <w:rFonts w:hint="eastAsia" w:eastAsia="仿宋_GB2312"/>
                <w:sz w:val="24"/>
              </w:rPr>
              <w:t>人事处</w:t>
            </w:r>
          </w:p>
        </w:tc>
      </w:tr>
      <w:tr>
        <w:tblPrEx>
          <w:tblLayout w:type="fixed"/>
          <w:tblCellMar>
            <w:top w:w="0" w:type="dxa"/>
            <w:left w:w="108" w:type="dxa"/>
            <w:bottom w:w="0" w:type="dxa"/>
            <w:right w:w="108" w:type="dxa"/>
          </w:tblCellMar>
        </w:tblPrEx>
        <w:trPr>
          <w:trHeight w:val="2258"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RW-9</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w:t>
            </w:r>
            <w:r>
              <w:rPr>
                <w:rFonts w:eastAsia="仿宋_GB2312"/>
                <w:color w:val="000000"/>
                <w:sz w:val="24"/>
              </w:rPr>
              <w:t>160</w:t>
            </w:r>
            <w:r>
              <w:rPr>
                <w:rFonts w:hint="eastAsia" w:eastAsia="仿宋_GB2312"/>
                <w:color w:val="000000"/>
                <w:sz w:val="24"/>
              </w:rPr>
              <w:t>学时为</w:t>
            </w:r>
            <w:r>
              <w:rPr>
                <w:rFonts w:eastAsia="仿宋_GB2312"/>
                <w:color w:val="000000"/>
                <w:sz w:val="24"/>
              </w:rPr>
              <w:t>1</w:t>
            </w:r>
            <w:r>
              <w:rPr>
                <w:rFonts w:hint="eastAsia" w:eastAsia="仿宋_GB2312"/>
                <w:color w:val="000000"/>
                <w:sz w:val="24"/>
              </w:rPr>
              <w:t>名教师计算</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highlight w:val="yellow"/>
              </w:rPr>
            </w:pPr>
            <w:r>
              <w:rPr>
                <w:rFonts w:hint="eastAsia" w:eastAsia="仿宋_GB2312"/>
                <w:color w:val="000000"/>
                <w:sz w:val="24"/>
              </w:rPr>
              <w:t>兼职教师聘任及管理制度；兼职教师队伍规模、承担教学情况及参加职业教育教学规律与教学方法培训的情况；兼职教师或合作企业主持参与的教科研项目及其获奖情况等。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人事处</w:t>
            </w:r>
          </w:p>
        </w:tc>
      </w:tr>
      <w:tr>
        <w:tblPrEx>
          <w:tblLayout w:type="fixed"/>
          <w:tblCellMar>
            <w:top w:w="0" w:type="dxa"/>
            <w:left w:w="108" w:type="dxa"/>
            <w:bottom w:w="0" w:type="dxa"/>
            <w:right w:w="108" w:type="dxa"/>
          </w:tblCellMar>
        </w:tblPrEx>
        <w:trPr>
          <w:trHeight w:val="458"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RW-11</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推动落实《职业院校数字校园建设规范》，建设高等职业教育人才培养工作状态数据管理系统</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highlight w:val="yellow"/>
              </w:rPr>
            </w:pPr>
            <w:r>
              <w:rPr>
                <w:rFonts w:hint="eastAsia" w:eastAsia="仿宋_GB2312"/>
                <w:color w:val="000000"/>
                <w:sz w:val="24"/>
              </w:rPr>
              <w:t>《职业院校数字校园建设规范》的推动与落实情况；各级财政资金支持力度；数字化校园基础平台建设及其促进教学信息化应用的情况；高等职业教育人才培养工作状态数据管理系统建设与应用情况等。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教务处</w:t>
            </w: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RW-12</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将信息技术应用能力作为教师评聘考核的重要依据</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highlight w:val="yellow"/>
              </w:rPr>
            </w:pPr>
            <w:r>
              <w:rPr>
                <w:rFonts w:hint="eastAsia" w:eastAsia="仿宋_GB2312"/>
                <w:color w:val="000000"/>
                <w:sz w:val="24"/>
              </w:rPr>
              <w:t>教师信息技术应用的政策措施；院校专项经费支持力度；教师信息技术应用能力培训纳入年度培养计划的情况，信息化教学资源开发情况及依托教学资源库、在线开放课程、教学移动平台等开展教学的情况等。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人事处</w:t>
            </w:r>
          </w:p>
        </w:tc>
      </w:tr>
      <w:tr>
        <w:tblPrEx>
          <w:tblLayout w:type="fixed"/>
          <w:tblCellMar>
            <w:top w:w="0" w:type="dxa"/>
            <w:left w:w="108" w:type="dxa"/>
            <w:bottom w:w="0" w:type="dxa"/>
            <w:right w:w="108" w:type="dxa"/>
          </w:tblCellMar>
        </w:tblPrEx>
        <w:trPr>
          <w:trHeight w:val="705" w:hRule="atLeast"/>
        </w:trPr>
        <w:tc>
          <w:tcPr>
            <w:tcW w:w="1499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黑体"/>
                <w:color w:val="000000"/>
                <w:sz w:val="24"/>
              </w:rPr>
            </w:pPr>
            <w:r>
              <w:rPr>
                <w:rFonts w:hint="eastAsia" w:eastAsia="黑体"/>
                <w:color w:val="000000"/>
                <w:sz w:val="24"/>
              </w:rPr>
              <w:t>二、增强院校办学活力</w:t>
            </w:r>
          </w:p>
        </w:tc>
      </w:tr>
      <w:tr>
        <w:tblPrEx>
          <w:tblLayout w:type="fixed"/>
          <w:tblCellMar>
            <w:top w:w="0" w:type="dxa"/>
            <w:left w:w="108" w:type="dxa"/>
            <w:bottom w:w="0" w:type="dxa"/>
            <w:right w:w="108" w:type="dxa"/>
          </w:tblCellMar>
        </w:tblPrEx>
        <w:trPr>
          <w:trHeight w:val="85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RW-24</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开展建设混合所有制高等职业院校的理论与实践课题研究</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混合所有制课题研究情况；混合所有制办学中学校和企业投入资金、人员、场地的情况、管理运行情况和校企股权分配情况等；开展混合所有制试点的院校、二级学院及专业情况等。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教务处、经贸系</w:t>
            </w:r>
          </w:p>
        </w:tc>
      </w:tr>
      <w:tr>
        <w:tblPrEx>
          <w:tblLayout w:type="fixed"/>
          <w:tblCellMar>
            <w:top w:w="0" w:type="dxa"/>
            <w:left w:w="108" w:type="dxa"/>
            <w:bottom w:w="0" w:type="dxa"/>
            <w:right w:w="108" w:type="dxa"/>
          </w:tblCellMar>
        </w:tblPrEx>
        <w:trPr>
          <w:trHeight w:val="273"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RW-28</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落实《教育部人力资源社会保障部关于推进职业院校服务经济转型升级面向行业企业开展职工继续教育的意见》</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《教育部人力资源社会保障部关于推进职业院校服务经济转型升级面向行业企业开展职工继续教育的意见》落实情况；院校设立继续教育专门机构、开展职工继续教育培训情况等。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成教院</w:t>
            </w:r>
          </w:p>
        </w:tc>
      </w:tr>
      <w:tr>
        <w:tblPrEx>
          <w:tblLayout w:type="fixed"/>
          <w:tblCellMar>
            <w:top w:w="0" w:type="dxa"/>
            <w:left w:w="108" w:type="dxa"/>
            <w:bottom w:w="0" w:type="dxa"/>
            <w:right w:w="108" w:type="dxa"/>
          </w:tblCellMar>
        </w:tblPrEx>
        <w:trPr>
          <w:trHeight w:val="142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RW-31</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贯彻落实国家教育体制改革领导小组办公室《关于进一步落实和扩大高校办学自主权完善高校内部治理结构的意见》，落实和扩大专科高等职业院校办学自主权，支持学校自主确定教学科研行政等内部组织机构的设置和人员配备，支持高校面向社会依法依规自主公开招聘教学科研行政管理等各类人员、自主选聘教职工、自主确定内部收入分配</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b/>
                <w:bCs/>
                <w:color w:val="000000"/>
                <w:sz w:val="24"/>
              </w:rPr>
            </w:pPr>
            <w:r>
              <w:rPr>
                <w:rFonts w:hint="eastAsia" w:eastAsia="仿宋_GB2312"/>
                <w:color w:val="000000"/>
                <w:sz w:val="24"/>
              </w:rPr>
              <w:t>《关于进一步落实和扩大高校办学自主权完善高校内部治理结构的意见》落实情况；支持院校自主确定教学科研行政等内部组织机构、人员配备、内部收入分配的政策措施，支持院校自主选拔学生、优化专业结构、开展教育教学活动、选聘教职工、开展科学研究、技术开发和社会服务、管理使用院校财产经费和扩大国际交流合作的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人事处</w:t>
            </w:r>
          </w:p>
        </w:tc>
      </w:tr>
      <w:tr>
        <w:tblPrEx>
          <w:tblLayout w:type="fixed"/>
          <w:tblCellMar>
            <w:top w:w="0" w:type="dxa"/>
            <w:left w:w="108" w:type="dxa"/>
            <w:bottom w:w="0" w:type="dxa"/>
            <w:right w:w="108" w:type="dxa"/>
          </w:tblCellMar>
        </w:tblPrEx>
        <w:trPr>
          <w:trHeight w:val="1024"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RW-35</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专科高等职业院校积极开展社区教育、老年教育活动；建立专科高等职业院校和社区教育机构联席会议制度</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highlight w:val="yellow"/>
              </w:rPr>
            </w:pPr>
            <w:r>
              <w:rPr>
                <w:rFonts w:hint="eastAsia" w:eastAsia="仿宋_GB2312"/>
                <w:color w:val="000000"/>
                <w:sz w:val="24"/>
              </w:rPr>
              <w:t>专科高等职业院校与社区教育机构联席会议制度及运作情况；老年教育、社区教育专业布点、教育教学、技能培训及各类活动开展情况与成效；社区学院的建设情况等。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党政办、团委</w:t>
            </w:r>
          </w:p>
        </w:tc>
      </w:tr>
      <w:tr>
        <w:tblPrEx>
          <w:tblLayout w:type="fixed"/>
          <w:tblCellMar>
            <w:top w:w="0" w:type="dxa"/>
            <w:left w:w="108" w:type="dxa"/>
            <w:bottom w:w="0" w:type="dxa"/>
            <w:right w:w="108" w:type="dxa"/>
          </w:tblCellMar>
        </w:tblPrEx>
        <w:trPr>
          <w:trHeight w:val="1024" w:hRule="atLeast"/>
        </w:trPr>
        <w:tc>
          <w:tcPr>
            <w:tcW w:w="1499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黑体"/>
                <w:color w:val="000000"/>
                <w:sz w:val="24"/>
              </w:rPr>
            </w:pPr>
            <w:r>
              <w:rPr>
                <w:rFonts w:hint="eastAsia" w:eastAsia="黑体"/>
                <w:color w:val="000000"/>
                <w:sz w:val="24"/>
              </w:rPr>
              <w:t>三、加强技术技能积累</w:t>
            </w:r>
          </w:p>
        </w:tc>
      </w:tr>
      <w:tr>
        <w:tblPrEx>
          <w:tblLayout w:type="fixed"/>
          <w:tblCellMar>
            <w:top w:w="0" w:type="dxa"/>
            <w:left w:w="108" w:type="dxa"/>
            <w:bottom w:w="0" w:type="dxa"/>
            <w:right w:w="108" w:type="dxa"/>
          </w:tblCellMar>
        </w:tblPrEx>
        <w:trPr>
          <w:trHeight w:val="364"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RW-37</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建立产业结构调整驱动专业设置与改革、产业技术进步驱动课程改革的机制</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highlight w:val="yellow"/>
              </w:rPr>
            </w:pPr>
            <w:r>
              <w:rPr>
                <w:rFonts w:hint="eastAsia" w:eastAsia="仿宋_GB2312"/>
                <w:color w:val="000000"/>
                <w:sz w:val="24"/>
              </w:rPr>
              <w:t>高职院校专业设置与调控机制的建立与实施情况；适应产业技术进步的课程体系、标准、资源开发及教学实施改革的情况，人才培养和重点产业人才供需年度报告制度建设情况，院校与行业、企业人才供需平台搭建及行业企业对人才需求预测的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教务处</w:t>
            </w:r>
          </w:p>
        </w:tc>
      </w:tr>
      <w:tr>
        <w:tblPrEx>
          <w:tblLayout w:type="fixed"/>
          <w:tblCellMar>
            <w:top w:w="0" w:type="dxa"/>
            <w:left w:w="108" w:type="dxa"/>
            <w:bottom w:w="0" w:type="dxa"/>
            <w:right w:w="108" w:type="dxa"/>
          </w:tblCellMar>
        </w:tblPrEx>
        <w:trPr>
          <w:trHeight w:val="346"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RW-38</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重点服务中国制造</w:t>
            </w:r>
            <w:r>
              <w:rPr>
                <w:rFonts w:eastAsia="仿宋_GB2312"/>
                <w:color w:val="000000"/>
                <w:sz w:val="24"/>
              </w:rPr>
              <w:t>2025</w:t>
            </w:r>
            <w:r>
              <w:rPr>
                <w:rFonts w:hint="eastAsia" w:eastAsia="仿宋_GB2312"/>
                <w:color w:val="000000"/>
                <w:sz w:val="24"/>
              </w:rPr>
              <w:t>，主动适应数字化网络化智能化制造需要，围绕强化工业基础、提升产品质量、发展制造业相关的生产性服务业调整专业、培养人才</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highlight w:val="yellow"/>
              </w:rPr>
            </w:pPr>
            <w:r>
              <w:rPr>
                <w:rFonts w:hint="eastAsia" w:eastAsia="仿宋_GB2312"/>
                <w:color w:val="000000"/>
                <w:sz w:val="24"/>
              </w:rPr>
              <w:t>围绕中国制造</w:t>
            </w:r>
            <w:r>
              <w:rPr>
                <w:rFonts w:eastAsia="仿宋_GB2312"/>
                <w:color w:val="000000"/>
                <w:sz w:val="24"/>
              </w:rPr>
              <w:t>2025</w:t>
            </w:r>
            <w:r>
              <w:rPr>
                <w:rFonts w:hint="eastAsia" w:eastAsia="仿宋_GB2312"/>
                <w:color w:val="000000"/>
                <w:sz w:val="24"/>
              </w:rPr>
              <w:t>扶持高职专业发展的相关政策制定及落实情况，相关生产性服务业专业设置与调整、人才培养、实验实训场所建设的情况；相关专业学生规模及就业情况等。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教务处</w:t>
            </w:r>
          </w:p>
        </w:tc>
      </w:tr>
      <w:tr>
        <w:tblPrEx>
          <w:tblLayout w:type="fixed"/>
          <w:tblCellMar>
            <w:top w:w="0" w:type="dxa"/>
            <w:left w:w="108" w:type="dxa"/>
            <w:bottom w:w="0" w:type="dxa"/>
            <w:right w:w="108" w:type="dxa"/>
          </w:tblCellMar>
        </w:tblPrEx>
        <w:trPr>
          <w:trHeight w:val="852"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RW-39</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优先保证新一代信息技术产业、高档数控机床和机器人、航空航天装备、海洋工程装备及高技术船舶、先进轨道交通装备、节能与新能源汽车、电力装备、农机装备、新材料、生物医药及高性能医疗器械产业相关专业的布局与发展</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highlight w:val="yellow"/>
              </w:rPr>
            </w:pPr>
            <w:r>
              <w:rPr>
                <w:rFonts w:hint="eastAsia" w:eastAsia="仿宋_GB2312"/>
                <w:color w:val="000000"/>
                <w:sz w:val="24"/>
              </w:rPr>
              <w:t>扶持相关专业发展政策的制定及落实情况；相关专业设置与调整、人才培养、实验实训场所建设情况，相关专业学生规模及就业情况等。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教务处</w:t>
            </w:r>
          </w:p>
        </w:tc>
      </w:tr>
      <w:tr>
        <w:tblPrEx>
          <w:tblLayout w:type="fixed"/>
          <w:tblCellMar>
            <w:top w:w="0" w:type="dxa"/>
            <w:left w:w="108" w:type="dxa"/>
            <w:bottom w:w="0" w:type="dxa"/>
            <w:right w:w="108" w:type="dxa"/>
          </w:tblCellMar>
        </w:tblPrEx>
        <w:trPr>
          <w:trHeight w:val="1150"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RW-40</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加强现代服务业亟需人才培养，加快满足社会建设和社会管理人才需求</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highlight w:val="yellow"/>
              </w:rPr>
            </w:pPr>
            <w:r>
              <w:rPr>
                <w:rFonts w:hint="eastAsia" w:eastAsia="仿宋_GB2312"/>
                <w:color w:val="000000"/>
                <w:sz w:val="24"/>
              </w:rPr>
              <w:t>扶持相关专业发展政策的制定及落实情况；相关专业设置与调整、人才培养、实验实训场所建设等情况，相关专业学生规模及就业情况等，现代服务业职业标准、行业标准引入教学的情况等。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经贸系</w:t>
            </w:r>
          </w:p>
        </w:tc>
      </w:tr>
      <w:tr>
        <w:tblPrEx>
          <w:tblLayout w:type="fixed"/>
          <w:tblCellMar>
            <w:top w:w="0" w:type="dxa"/>
            <w:left w:w="108" w:type="dxa"/>
            <w:bottom w:w="0" w:type="dxa"/>
            <w:right w:w="108" w:type="dxa"/>
          </w:tblCellMar>
        </w:tblPrEx>
        <w:trPr>
          <w:trHeight w:val="629"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RW-42</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促进专业教育与创新创业教育有机融合；利用各种资源建设大学科技园、大学生创业园、创业孵化基地和小微企业创业基地，作为创业教育实践平台</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highlight w:val="yellow"/>
              </w:rPr>
            </w:pPr>
            <w:r>
              <w:rPr>
                <w:rFonts w:hint="eastAsia" w:eastAsia="仿宋_GB2312"/>
                <w:color w:val="000000"/>
                <w:sz w:val="24"/>
              </w:rPr>
              <w:t>支持创新创业教育发展的政策措施；各级各类资金支持力度；各类实践平台建设规模，“互联网</w:t>
            </w:r>
            <w:r>
              <w:rPr>
                <w:rFonts w:eastAsia="仿宋_GB2312"/>
                <w:color w:val="000000"/>
                <w:sz w:val="24"/>
              </w:rPr>
              <w:t>+</w:t>
            </w:r>
            <w:r>
              <w:rPr>
                <w:rFonts w:hint="eastAsia" w:eastAsia="仿宋_GB2312"/>
                <w:color w:val="000000"/>
                <w:sz w:val="24"/>
              </w:rPr>
              <w:t>持创新创业大赛和各类科技创新、创意设计、创业计划等专题竞赛参与及获奖情况，学生参与创业教育实践的情况等。</w:t>
            </w:r>
          </w:p>
        </w:tc>
        <w:tc>
          <w:tcPr>
            <w:tcW w:w="5244" w:type="dxa"/>
            <w:tcBorders>
              <w:top w:val="single" w:color="auto" w:sz="4" w:space="0"/>
              <w:left w:val="nil"/>
              <w:bottom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招就处</w:t>
            </w:r>
          </w:p>
        </w:tc>
      </w:tr>
      <w:tr>
        <w:tblPrEx>
          <w:tblLayout w:type="fixed"/>
          <w:tblCellMar>
            <w:top w:w="0" w:type="dxa"/>
            <w:left w:w="108" w:type="dxa"/>
            <w:bottom w:w="0" w:type="dxa"/>
            <w:right w:w="108" w:type="dxa"/>
          </w:tblCellMar>
        </w:tblPrEx>
        <w:trPr>
          <w:trHeight w:val="1687"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RW-43</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进程、保留学籍休学创新创业</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highlight w:val="yellow"/>
              </w:rPr>
            </w:pPr>
            <w:r>
              <w:rPr>
                <w:rFonts w:hint="eastAsia" w:eastAsia="仿宋_GB2312"/>
                <w:color w:val="000000"/>
                <w:sz w:val="24"/>
              </w:rPr>
              <w:t>促进学生开展创新研究和创业实践的学分转换、成果认定、专业调换、休学创业、弹性学制等方面制度制定及落实情况等。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教务处、学生处</w:t>
            </w:r>
          </w:p>
        </w:tc>
      </w:tr>
      <w:tr>
        <w:tblPrEx>
          <w:tblLayout w:type="fixed"/>
          <w:tblCellMar>
            <w:top w:w="0" w:type="dxa"/>
            <w:left w:w="108" w:type="dxa"/>
            <w:bottom w:w="0" w:type="dxa"/>
            <w:right w:w="108" w:type="dxa"/>
          </w:tblCellMar>
        </w:tblPrEx>
        <w:trPr>
          <w:trHeight w:val="1151"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RW-44</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地区、有关部门整合发改财政和社会资金，支持高校学生创新创业活动。高等职业院校优化经费支出结构，多渠道统筹安排资金，支持创新创业教育教学，资助学生创新创业项目</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多渠道支持创新创业教育的经费政策制定，资金筹集、安排使用及成效等情况。</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招就处、财务处</w:t>
            </w:r>
          </w:p>
        </w:tc>
      </w:tr>
      <w:tr>
        <w:tblPrEx>
          <w:tblLayout w:type="fixed"/>
          <w:tblCellMar>
            <w:top w:w="0" w:type="dxa"/>
            <w:left w:w="108" w:type="dxa"/>
            <w:bottom w:w="0" w:type="dxa"/>
            <w:right w:w="108" w:type="dxa"/>
          </w:tblCellMar>
        </w:tblPrEx>
        <w:trPr>
          <w:trHeight w:val="1399"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RW-46</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加强文化创意、影视制作、出版发行等重点文化产业技术技能人才的培养；提升民族地区的高等职业院校支持当地特色优势产业、基本公共服务、社会管理的能力</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highlight w:val="yellow"/>
              </w:rPr>
            </w:pPr>
            <w:r>
              <w:rPr>
                <w:rFonts w:hint="eastAsia" w:eastAsia="仿宋_GB2312"/>
                <w:color w:val="000000"/>
                <w:sz w:val="24"/>
              </w:rPr>
              <w:t>省内相关政策制定情况；高职院校服务文化创意、影视制作、出版发行等产业的专业调整、课程优化及教材开发情况；高等职业院校支持当地特色优势产业、基本公共服务、社会管理能力提升的情况等。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传媒系</w:t>
            </w:r>
          </w:p>
        </w:tc>
      </w:tr>
      <w:tr>
        <w:tblPrEx>
          <w:tblLayout w:type="fixed"/>
          <w:tblCellMar>
            <w:top w:w="0" w:type="dxa"/>
            <w:left w:w="108" w:type="dxa"/>
            <w:bottom w:w="0" w:type="dxa"/>
            <w:right w:w="108" w:type="dxa"/>
          </w:tblCellMar>
        </w:tblPrEx>
        <w:trPr>
          <w:trHeight w:val="974" w:hRule="atLeast"/>
        </w:trPr>
        <w:tc>
          <w:tcPr>
            <w:tcW w:w="1499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ind w:firstLine="120" w:firstLineChars="50"/>
              <w:jc w:val="center"/>
              <w:rPr>
                <w:rFonts w:eastAsia="黑体"/>
                <w:color w:val="000000"/>
                <w:sz w:val="24"/>
              </w:rPr>
            </w:pPr>
            <w:r>
              <w:rPr>
                <w:rFonts w:hint="eastAsia" w:eastAsia="黑体"/>
                <w:color w:val="000000"/>
                <w:sz w:val="24"/>
              </w:rPr>
              <w:t>四、完善质量保障机制</w:t>
            </w:r>
          </w:p>
        </w:tc>
      </w:tr>
      <w:tr>
        <w:tblPrEx>
          <w:tblLayout w:type="fixed"/>
          <w:tblCellMar>
            <w:top w:w="0" w:type="dxa"/>
            <w:left w:w="108" w:type="dxa"/>
            <w:bottom w:w="0" w:type="dxa"/>
            <w:right w:w="108" w:type="dxa"/>
          </w:tblCellMar>
        </w:tblPrEx>
        <w:trPr>
          <w:trHeight w:val="570"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RW-50</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完成高等职业院校章程制定、修订工作</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highlight w:val="yellow"/>
              </w:rPr>
            </w:pPr>
            <w:r>
              <w:rPr>
                <w:rFonts w:hint="eastAsia" w:eastAsia="仿宋_GB2312"/>
                <w:color w:val="000000"/>
                <w:sz w:val="24"/>
              </w:rPr>
              <w:t>高等职业院校章程制定、修订及核准情况，落实党委领导下的校长负责制及高校内部治理体系建设的情况等。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党政办</w:t>
            </w:r>
          </w:p>
        </w:tc>
      </w:tr>
      <w:tr>
        <w:tblPrEx>
          <w:tblLayout w:type="fixed"/>
          <w:tblCellMar>
            <w:top w:w="0" w:type="dxa"/>
            <w:left w:w="108" w:type="dxa"/>
            <w:bottom w:w="0" w:type="dxa"/>
            <w:right w:w="108" w:type="dxa"/>
          </w:tblCellMar>
        </w:tblPrEx>
        <w:trPr>
          <w:trHeight w:val="416"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RW-51</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推动高等职业院校参照《高等学校学术委员会规程》设立学术委员会；一批（不少于</w:t>
            </w:r>
            <w:r>
              <w:rPr>
                <w:rFonts w:eastAsia="仿宋_GB2312"/>
                <w:color w:val="000000"/>
                <w:sz w:val="24"/>
              </w:rPr>
              <w:t>20%</w:t>
            </w:r>
            <w:r>
              <w:rPr>
                <w:rFonts w:hint="eastAsia" w:eastAsia="仿宋_GB2312"/>
                <w:color w:val="000000"/>
                <w:sz w:val="24"/>
              </w:rPr>
              <w:t>）专科高等职业院校参照《普通高等学校理事会规程（试行）》设立理事会或董事会机构</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highlight w:val="yellow"/>
              </w:rPr>
            </w:pPr>
            <w:r>
              <w:rPr>
                <w:rFonts w:hint="eastAsia" w:eastAsia="仿宋_GB2312"/>
                <w:color w:val="000000"/>
                <w:sz w:val="24"/>
              </w:rPr>
              <w:t>高等职业院校学术委员会、理事会（董事会）制度制定、机构设立及运行情况。</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职研所、组织人事处</w:t>
            </w:r>
          </w:p>
        </w:tc>
      </w:tr>
      <w:tr>
        <w:tblPrEx>
          <w:tblLayout w:type="fixed"/>
          <w:tblCellMar>
            <w:top w:w="0" w:type="dxa"/>
            <w:left w:w="108" w:type="dxa"/>
            <w:bottom w:w="0" w:type="dxa"/>
            <w:right w:w="108" w:type="dxa"/>
          </w:tblCellMar>
        </w:tblPrEx>
        <w:trPr>
          <w:trHeight w:val="570"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RW-52</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巩固学校、省和国家三级高等职业教育质量年度报告制度，进一步提高年度质量报告的量化程度、可比性和可读性；强化对报告发布情况和撰写质量的监督管理</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高等职业质量年度报告制度执行情况；校企联合发布学校质量年度报告情况，推进质量年报公开发布的措施，引入第三方评价、加强审核监管提高撰写质量的举措等。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教务处</w:t>
            </w:r>
          </w:p>
        </w:tc>
      </w:tr>
      <w:tr>
        <w:tblPrEx>
          <w:tblLayout w:type="fixed"/>
          <w:tblCellMar>
            <w:top w:w="0" w:type="dxa"/>
            <w:left w:w="108" w:type="dxa"/>
            <w:bottom w:w="0" w:type="dxa"/>
            <w:right w:w="108" w:type="dxa"/>
          </w:tblCellMar>
        </w:tblPrEx>
        <w:trPr>
          <w:trHeight w:val="461"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RW-53</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加强分类指导，以人才培养工作状态数据为基础，开展高职院校教学诊断和改进工作</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highlight w:val="yellow"/>
              </w:rPr>
            </w:pPr>
            <w:r>
              <w:rPr>
                <w:rFonts w:hint="eastAsia" w:eastAsia="仿宋_GB2312"/>
                <w:color w:val="000000"/>
                <w:sz w:val="24"/>
              </w:rPr>
              <w:t>教学诊断和改进工作机制建立和专家委员会成立情况；教学诊断和改进工作实施方案制定与实施情况；院校实际开展情况等。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教务处</w:t>
            </w:r>
          </w:p>
        </w:tc>
      </w:tr>
      <w:tr>
        <w:tblPrEx>
          <w:tblLayout w:type="fixed"/>
          <w:tblCellMar>
            <w:top w:w="0" w:type="dxa"/>
            <w:left w:w="108" w:type="dxa"/>
            <w:bottom w:w="0" w:type="dxa"/>
            <w:right w:w="108" w:type="dxa"/>
          </w:tblCellMar>
        </w:tblPrEx>
        <w:trPr>
          <w:trHeight w:val="604"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RW-56</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推动教师分类管理、分类评价的人事管理制度改革；全面推行按岗聘用、竞聘上岗</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highlight w:val="yellow"/>
              </w:rPr>
            </w:pPr>
            <w:r>
              <w:rPr>
                <w:rFonts w:hint="eastAsia" w:eastAsia="仿宋_GB2312"/>
                <w:color w:val="000000"/>
                <w:sz w:val="24"/>
              </w:rPr>
              <w:t>校内教师分类管理、分类评价的人事管理制度改革及机构设置情况；按岗聘用、竞聘上岗实施情况及效果等。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人事处</w:t>
            </w:r>
          </w:p>
        </w:tc>
      </w:tr>
      <w:tr>
        <w:tblPrEx>
          <w:tblLayout w:type="fixed"/>
          <w:tblCellMar>
            <w:top w:w="0" w:type="dxa"/>
            <w:left w:w="108" w:type="dxa"/>
            <w:bottom w:w="0" w:type="dxa"/>
            <w:right w:w="108" w:type="dxa"/>
          </w:tblCellMar>
        </w:tblPrEx>
        <w:trPr>
          <w:trHeight w:val="49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RW-57</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制订体现高等职业教育特点的教师绩效评价标准</w:t>
            </w:r>
            <w:r>
              <w:rPr>
                <w:rFonts w:eastAsia="仿宋_GB2312"/>
                <w:color w:val="000000"/>
                <w:sz w:val="24"/>
              </w:rPr>
              <w:t>; 55</w:t>
            </w:r>
            <w:r>
              <w:rPr>
                <w:rFonts w:hint="eastAsia" w:eastAsia="仿宋_GB2312"/>
                <w:color w:val="000000"/>
                <w:sz w:val="24"/>
              </w:rPr>
              <w:t>岁以下的教授、副教授每学期至少讲授一门课程</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highlight w:val="yellow"/>
              </w:rPr>
            </w:pPr>
            <w:r>
              <w:rPr>
                <w:rFonts w:hint="eastAsia" w:eastAsia="仿宋_GB2312"/>
                <w:color w:val="000000"/>
                <w:sz w:val="24"/>
              </w:rPr>
              <w:t>体现高等职业教育特点的教师绩效评价标准制定及落实情况；</w:t>
            </w:r>
            <w:r>
              <w:rPr>
                <w:rFonts w:eastAsia="仿宋_GB2312"/>
                <w:color w:val="000000"/>
                <w:sz w:val="24"/>
              </w:rPr>
              <w:t>55</w:t>
            </w:r>
            <w:r>
              <w:rPr>
                <w:rFonts w:hint="eastAsia" w:eastAsia="仿宋_GB2312"/>
                <w:color w:val="000000"/>
                <w:sz w:val="24"/>
              </w:rPr>
              <w:t>岁以下的教授、副教授每学期至少讲授一门课程落实情况等。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人事处</w:t>
            </w:r>
          </w:p>
        </w:tc>
      </w:tr>
      <w:tr>
        <w:tblPrEx>
          <w:tblLayout w:type="fixed"/>
          <w:tblCellMar>
            <w:top w:w="0" w:type="dxa"/>
            <w:left w:w="108" w:type="dxa"/>
            <w:bottom w:w="0" w:type="dxa"/>
            <w:right w:w="108" w:type="dxa"/>
          </w:tblCellMar>
        </w:tblPrEx>
        <w:trPr>
          <w:trHeight w:val="913"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RW-58</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加强高等职业教育研究机构和队伍建设，加大投入支持相关研究工作；有条件的高等职业院校建立专门教育研究机构，开展教学研究</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ind w:firstLine="480" w:firstLineChars="200"/>
              <w:rPr>
                <w:rFonts w:eastAsia="仿宋_GB2312"/>
                <w:color w:val="000000"/>
                <w:sz w:val="24"/>
                <w:highlight w:val="yellow"/>
              </w:rPr>
            </w:pPr>
            <w:r>
              <w:rPr>
                <w:rFonts w:hint="eastAsia" w:eastAsia="仿宋_GB2312"/>
                <w:color w:val="000000"/>
                <w:sz w:val="24"/>
              </w:rPr>
              <w:t>高职教育研究机构设置情况；研究机构人员参与教育教学改革与实践的情况；各级财政支持力度；相关研究项目设立、评审及成果推广情况等。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ind w:firstLine="480" w:firstLineChars="200"/>
              <w:rPr>
                <w:rFonts w:hint="eastAsia" w:eastAsia="仿宋_GB2312"/>
                <w:color w:val="000000"/>
                <w:sz w:val="24"/>
              </w:rPr>
            </w:pPr>
            <w:r>
              <w:rPr>
                <w:rFonts w:hint="eastAsia" w:eastAsia="仿宋_GB2312"/>
                <w:color w:val="000000"/>
                <w:sz w:val="24"/>
              </w:rPr>
              <w:t>职研所</w:t>
            </w:r>
          </w:p>
        </w:tc>
      </w:tr>
      <w:tr>
        <w:tblPrEx>
          <w:tblLayout w:type="fixed"/>
          <w:tblCellMar>
            <w:top w:w="0" w:type="dxa"/>
            <w:left w:w="108" w:type="dxa"/>
            <w:bottom w:w="0" w:type="dxa"/>
            <w:right w:w="108" w:type="dxa"/>
          </w:tblCellMar>
        </w:tblPrEx>
        <w:trPr>
          <w:trHeight w:val="928" w:hRule="atLeast"/>
        </w:trPr>
        <w:tc>
          <w:tcPr>
            <w:tcW w:w="1499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黑体"/>
                <w:color w:val="000000"/>
                <w:sz w:val="24"/>
              </w:rPr>
            </w:pPr>
            <w:r>
              <w:rPr>
                <w:rFonts w:hint="eastAsia" w:eastAsia="黑体"/>
                <w:color w:val="000000"/>
                <w:sz w:val="24"/>
              </w:rPr>
              <w:t>五、提升思想政治教育质量</w:t>
            </w:r>
          </w:p>
        </w:tc>
      </w:tr>
      <w:tr>
        <w:tblPrEx>
          <w:tblLayout w:type="fixed"/>
          <w:tblCellMar>
            <w:top w:w="0" w:type="dxa"/>
            <w:left w:w="108" w:type="dxa"/>
            <w:bottom w:w="0" w:type="dxa"/>
            <w:right w:w="108" w:type="dxa"/>
          </w:tblCellMar>
        </w:tblPrEx>
        <w:trPr>
          <w:trHeight w:val="872"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RW-59</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贯彻落实《高等学校辅导员职业能力标准（暂行）》</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highlight w:val="yellow"/>
              </w:rPr>
            </w:pPr>
            <w:r>
              <w:rPr>
                <w:rFonts w:hint="eastAsia" w:eastAsia="仿宋_GB2312"/>
                <w:color w:val="000000"/>
                <w:sz w:val="24"/>
              </w:rPr>
              <w:t>《高等学校辅导员职业能力标准（暂行）》落实情况；辅导员队伍准入、考核、培养、发展、退出机制建设情况，辅导员职业能力培养计划制定及实施情况，各级各类交流活动情况等。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学生处</w:t>
            </w:r>
          </w:p>
        </w:tc>
      </w:tr>
      <w:tr>
        <w:tblPrEx>
          <w:tblLayout w:type="fixed"/>
          <w:tblCellMar>
            <w:top w:w="0" w:type="dxa"/>
            <w:left w:w="108" w:type="dxa"/>
            <w:bottom w:w="0" w:type="dxa"/>
            <w:right w:w="108" w:type="dxa"/>
          </w:tblCellMar>
        </w:tblPrEx>
        <w:trPr>
          <w:trHeight w:val="273"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RW-60</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健全学生思想政治教育长效机制；高职院校按师生比</w:t>
            </w:r>
            <w:r>
              <w:rPr>
                <w:rFonts w:eastAsia="仿宋_GB2312"/>
                <w:color w:val="000000"/>
                <w:sz w:val="24"/>
              </w:rPr>
              <w:t>1:200</w:t>
            </w:r>
            <w:r>
              <w:rPr>
                <w:rFonts w:hint="eastAsia" w:eastAsia="仿宋_GB2312"/>
                <w:color w:val="000000"/>
                <w:sz w:val="24"/>
              </w:rPr>
              <w:t>配备辅导员；心理健康教育全覆盖</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highlight w:val="yellow"/>
              </w:rPr>
            </w:pPr>
            <w:r>
              <w:rPr>
                <w:rFonts w:hint="eastAsia" w:eastAsia="仿宋_GB2312"/>
                <w:color w:val="000000"/>
                <w:sz w:val="24"/>
              </w:rPr>
              <w:t>高职院校大学生思想政治教育工作规划和方案；辅导员队伍的编制和落实情况；大学生思想政治教育、心理健康教育或心理咨询专门机构、经费及专兼职教师落实情况，各类心理健康教育、活动开展情况等。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学生处</w:t>
            </w:r>
          </w:p>
        </w:tc>
      </w:tr>
      <w:tr>
        <w:tblPrEx>
          <w:tblLayout w:type="fixed"/>
          <w:tblCellMar>
            <w:top w:w="0" w:type="dxa"/>
            <w:left w:w="108" w:type="dxa"/>
            <w:bottom w:w="0" w:type="dxa"/>
            <w:right w:w="108" w:type="dxa"/>
          </w:tblCellMar>
        </w:tblPrEx>
        <w:trPr>
          <w:trHeight w:val="346"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RW-61</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全面推进《全国大学生思想政治教育质量测评体系（试行）》</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highlight w:val="yellow"/>
              </w:rPr>
            </w:pPr>
            <w:r>
              <w:rPr>
                <w:rFonts w:hint="eastAsia" w:eastAsia="仿宋_GB2312"/>
                <w:color w:val="000000"/>
                <w:sz w:val="24"/>
              </w:rPr>
              <w:t>学校大学生思想政治教育工作的组织领导、师资队伍、思想政治理论课程、课外思想政治教育、保障条件、育人环境建设的落实情况；测评开展情况等。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基础部</w:t>
            </w:r>
          </w:p>
        </w:tc>
      </w:tr>
      <w:tr>
        <w:tblPrEx>
          <w:tblLayout w:type="fixed"/>
          <w:tblCellMar>
            <w:top w:w="0" w:type="dxa"/>
            <w:left w:w="108" w:type="dxa"/>
            <w:bottom w:w="0" w:type="dxa"/>
            <w:right w:w="108" w:type="dxa"/>
          </w:tblCellMar>
        </w:tblPrEx>
        <w:trPr>
          <w:trHeight w:val="346"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RW-62</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创建平安校园、和谐校园</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highlight w:val="yellow"/>
              </w:rPr>
            </w:pPr>
            <w:r>
              <w:rPr>
                <w:rFonts w:hint="eastAsia" w:eastAsia="仿宋_GB2312"/>
                <w:color w:val="000000"/>
                <w:sz w:val="24"/>
              </w:rPr>
              <w:t>创建平安校园、和谐校园工作规划与实施方案；专门机构、人员及经费落实情况；安全管理、安全教育、预案制定、活动审批、校内外沟通机制、特殊群体管理及师生申诉机制的建立及开展情况；近三年院校重大安全稳定责任事故发生的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保卫处</w:t>
            </w:r>
          </w:p>
        </w:tc>
      </w:tr>
      <w:tr>
        <w:tblPrEx>
          <w:tblLayout w:type="fixed"/>
          <w:tblCellMar>
            <w:top w:w="0" w:type="dxa"/>
            <w:left w:w="108" w:type="dxa"/>
            <w:bottom w:w="0" w:type="dxa"/>
            <w:right w:w="108" w:type="dxa"/>
          </w:tblCellMar>
        </w:tblPrEx>
        <w:trPr>
          <w:trHeight w:val="600"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RW-63</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落实《高等学校体育工作基本标准》</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highlight w:val="yellow"/>
              </w:rPr>
            </w:pPr>
            <w:r>
              <w:rPr>
                <w:rFonts w:hint="eastAsia" w:eastAsia="仿宋_GB2312"/>
                <w:color w:val="000000"/>
                <w:sz w:val="24"/>
              </w:rPr>
              <w:t>学校体育工作规划与实施方案；专门机构、专项经费及专兼职教师落实情况；运动场馆、设施和器材建设情况，体育教学、课外活动及学生体质健康测试开展的情况等。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体育部</w:t>
            </w:r>
          </w:p>
        </w:tc>
      </w:tr>
      <w:tr>
        <w:tblPrEx>
          <w:tblLayout w:type="fixed"/>
          <w:tblCellMar>
            <w:top w:w="0" w:type="dxa"/>
            <w:left w:w="108" w:type="dxa"/>
            <w:bottom w:w="0" w:type="dxa"/>
            <w:right w:w="108" w:type="dxa"/>
          </w:tblCellMar>
        </w:tblPrEx>
        <w:trPr>
          <w:trHeight w:val="41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RW-64</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加强文化素质教育；加强校园文化建设；支持学生社团活动</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highlight w:val="yellow"/>
              </w:rPr>
            </w:pPr>
            <w:r>
              <w:rPr>
                <w:rFonts w:hint="eastAsia" w:eastAsia="仿宋_GB2312"/>
                <w:color w:val="000000"/>
                <w:sz w:val="24"/>
              </w:rPr>
              <w:t>文化素质教育、校园文化建设、学生社团活动等相关政策的制定和落实情况；文化素质教育、校园文化建设及成果，学生社团数量、规模，活动开展与品牌建设情况等。</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40" w:lineRule="atLeast"/>
              <w:rPr>
                <w:rFonts w:hint="eastAsia" w:eastAsia="仿宋_GB2312"/>
                <w:color w:val="000000"/>
                <w:sz w:val="24"/>
              </w:rPr>
            </w:pPr>
            <w:r>
              <w:rPr>
                <w:rFonts w:hint="eastAsia" w:eastAsia="仿宋_GB2312"/>
                <w:color w:val="000000"/>
                <w:sz w:val="24"/>
              </w:rPr>
              <w:t>学生处</w:t>
            </w:r>
          </w:p>
        </w:tc>
      </w:tr>
      <w:tr>
        <w:tblPrEx>
          <w:tblLayout w:type="fixed"/>
          <w:tblCellMar>
            <w:top w:w="0" w:type="dxa"/>
            <w:left w:w="108" w:type="dxa"/>
            <w:bottom w:w="0" w:type="dxa"/>
            <w:right w:w="108" w:type="dxa"/>
          </w:tblCellMar>
        </w:tblPrEx>
        <w:trPr>
          <w:trHeight w:val="1020"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RW-65</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促进职业技能培养与职业精神养成相融合</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highlight w:val="yellow"/>
              </w:rPr>
            </w:pPr>
            <w:r>
              <w:rPr>
                <w:rFonts w:hint="eastAsia" w:eastAsia="仿宋_GB2312"/>
                <w:color w:val="000000"/>
                <w:sz w:val="24"/>
              </w:rPr>
              <w:t>促进职业技能培养与职业精神养成相融合的举措和成效。</w:t>
            </w:r>
          </w:p>
        </w:tc>
        <w:tc>
          <w:tcPr>
            <w:tcW w:w="5244" w:type="dxa"/>
            <w:tcBorders>
              <w:top w:val="single" w:color="auto" w:sz="4" w:space="0"/>
              <w:left w:val="nil"/>
              <w:bottom w:val="single" w:color="auto" w:sz="4" w:space="0"/>
              <w:right w:val="single" w:color="auto" w:sz="4" w:space="0"/>
            </w:tcBorders>
            <w:vAlign w:val="top"/>
          </w:tcPr>
          <w:p>
            <w:pPr>
              <w:adjustRightInd w:val="0"/>
              <w:snapToGrid w:val="0"/>
              <w:spacing w:after="200" w:line="273" w:lineRule="auto"/>
              <w:rPr>
                <w:rFonts w:hint="eastAsia" w:eastAsia="仿宋_GB2312"/>
                <w:color w:val="000000"/>
                <w:sz w:val="24"/>
              </w:rPr>
            </w:pPr>
            <w:r>
              <w:rPr>
                <w:rFonts w:hint="eastAsia" w:eastAsia="仿宋_GB2312"/>
                <w:color w:val="000000"/>
                <w:sz w:val="24"/>
              </w:rPr>
              <w:t>教务处</w:t>
            </w:r>
          </w:p>
        </w:tc>
      </w:tr>
    </w:tbl>
    <w:p/>
    <w:p/>
    <w:p/>
    <w:p/>
    <w:p>
      <w:pPr>
        <w:jc w:val="center"/>
        <w:rPr>
          <w:rFonts w:eastAsia="黑体"/>
        </w:rPr>
      </w:pPr>
    </w:p>
    <w:tbl>
      <w:tblPr>
        <w:tblStyle w:val="5"/>
        <w:tblW w:w="14567" w:type="dxa"/>
        <w:jc w:val="center"/>
        <w:tblInd w:w="0" w:type="dxa"/>
        <w:tblLayout w:type="fixed"/>
        <w:tblCellMar>
          <w:top w:w="0" w:type="dxa"/>
          <w:left w:w="108" w:type="dxa"/>
          <w:bottom w:w="0" w:type="dxa"/>
          <w:right w:w="108" w:type="dxa"/>
        </w:tblCellMar>
      </w:tblPr>
      <w:tblGrid>
        <w:gridCol w:w="984"/>
        <w:gridCol w:w="2811"/>
        <w:gridCol w:w="5386"/>
        <w:gridCol w:w="4253"/>
        <w:gridCol w:w="1133"/>
      </w:tblGrid>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after="200" w:line="273" w:lineRule="auto"/>
              <w:jc w:val="center"/>
              <w:rPr>
                <w:rFonts w:eastAsia="黑体"/>
                <w:color w:val="000000"/>
                <w:sz w:val="24"/>
              </w:rPr>
            </w:pPr>
            <w:r>
              <w:rPr>
                <w:rFonts w:hint="eastAsia" w:eastAsia="黑体"/>
                <w:color w:val="000000"/>
                <w:sz w:val="24"/>
              </w:rPr>
              <w:t>序号</w:t>
            </w:r>
          </w:p>
        </w:tc>
        <w:tc>
          <w:tcPr>
            <w:tcW w:w="281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200" w:line="273" w:lineRule="auto"/>
              <w:jc w:val="center"/>
              <w:rPr>
                <w:rFonts w:eastAsia="黑体"/>
                <w:color w:val="000000"/>
                <w:sz w:val="24"/>
              </w:rPr>
            </w:pPr>
            <w:r>
              <w:rPr>
                <w:rFonts w:hint="eastAsia" w:eastAsia="黑体"/>
                <w:color w:val="000000"/>
                <w:sz w:val="24"/>
              </w:rPr>
              <w:t>工作任务</w:t>
            </w:r>
          </w:p>
        </w:tc>
        <w:tc>
          <w:tcPr>
            <w:tcW w:w="538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200" w:line="273" w:lineRule="auto"/>
              <w:jc w:val="center"/>
              <w:rPr>
                <w:rFonts w:eastAsia="黑体"/>
                <w:color w:val="000000"/>
                <w:sz w:val="24"/>
              </w:rPr>
            </w:pPr>
            <w:r>
              <w:rPr>
                <w:rFonts w:hint="eastAsia" w:eastAsia="黑体"/>
                <w:color w:val="000000"/>
                <w:sz w:val="24"/>
              </w:rPr>
              <w:t>报送要点</w:t>
            </w:r>
          </w:p>
        </w:tc>
        <w:tc>
          <w:tcPr>
            <w:tcW w:w="4253" w:type="dxa"/>
            <w:tcBorders>
              <w:top w:val="single" w:color="auto" w:sz="4" w:space="0"/>
              <w:left w:val="nil"/>
              <w:bottom w:val="single" w:color="auto" w:sz="4" w:space="0"/>
              <w:right w:val="single" w:color="auto" w:sz="4" w:space="0"/>
            </w:tcBorders>
            <w:shd w:val="clear" w:color="auto" w:fill="FFFFFF"/>
            <w:vAlign w:val="top"/>
          </w:tcPr>
          <w:p>
            <w:pPr>
              <w:adjustRightInd w:val="0"/>
              <w:snapToGrid w:val="0"/>
              <w:spacing w:after="200" w:line="273" w:lineRule="auto"/>
              <w:jc w:val="center"/>
              <w:rPr>
                <w:rFonts w:eastAsia="黑体"/>
                <w:color w:val="000000"/>
                <w:sz w:val="24"/>
              </w:rPr>
            </w:pPr>
            <w:r>
              <w:rPr>
                <w:rFonts w:hint="eastAsia" w:eastAsia="黑体"/>
                <w:color w:val="000000"/>
                <w:sz w:val="24"/>
              </w:rPr>
              <w:t>进展情况</w:t>
            </w:r>
          </w:p>
        </w:tc>
        <w:tc>
          <w:tcPr>
            <w:tcW w:w="1133" w:type="dxa"/>
            <w:tcBorders>
              <w:top w:val="single" w:color="auto" w:sz="4" w:space="0"/>
              <w:left w:val="nil"/>
              <w:bottom w:val="single" w:color="auto" w:sz="4" w:space="0"/>
              <w:right w:val="single" w:color="auto" w:sz="4" w:space="0"/>
            </w:tcBorders>
            <w:shd w:val="clear" w:color="auto" w:fill="FFFFFF"/>
            <w:vAlign w:val="top"/>
          </w:tcPr>
          <w:p>
            <w:pPr>
              <w:adjustRightInd w:val="0"/>
              <w:snapToGrid w:val="0"/>
              <w:spacing w:after="200" w:line="273" w:lineRule="auto"/>
              <w:jc w:val="center"/>
              <w:rPr>
                <w:rFonts w:hint="eastAsia" w:eastAsia="黑体"/>
                <w:color w:val="000000"/>
                <w:sz w:val="24"/>
              </w:rPr>
            </w:pPr>
            <w:r>
              <w:rPr>
                <w:rFonts w:hint="eastAsia" w:eastAsia="黑体"/>
                <w:color w:val="000000"/>
                <w:sz w:val="24"/>
              </w:rPr>
              <w:t>责任人</w:t>
            </w:r>
          </w:p>
        </w:tc>
      </w:tr>
      <w:tr>
        <w:tblPrEx>
          <w:tblLayout w:type="fixed"/>
          <w:tblCellMar>
            <w:top w:w="0" w:type="dxa"/>
            <w:left w:w="108" w:type="dxa"/>
            <w:bottom w:w="0" w:type="dxa"/>
            <w:right w:w="108" w:type="dxa"/>
          </w:tblCellMar>
        </w:tblPrEx>
        <w:trPr>
          <w:trHeight w:val="390"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3" w:lineRule="auto"/>
              <w:jc w:val="center"/>
              <w:rPr>
                <w:rFonts w:eastAsia="仿宋_GB2312"/>
                <w:color w:val="000000"/>
                <w:sz w:val="24"/>
              </w:rPr>
            </w:pPr>
            <w:r>
              <w:rPr>
                <w:rFonts w:eastAsia="仿宋_GB2312"/>
                <w:color w:val="000000"/>
                <w:sz w:val="24"/>
              </w:rPr>
              <w:t>XM-01</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rPr>
            </w:pPr>
            <w:r>
              <w:rPr>
                <w:rFonts w:hint="eastAsia" w:eastAsia="仿宋_GB2312"/>
                <w:color w:val="000000"/>
                <w:sz w:val="24"/>
              </w:rPr>
              <w:t>骨干专业建设（</w:t>
            </w:r>
            <w:r>
              <w:rPr>
                <w:rFonts w:eastAsia="仿宋_GB2312"/>
                <w:color w:val="000000"/>
                <w:sz w:val="24"/>
              </w:rPr>
              <w:t>3000</w:t>
            </w:r>
            <w:r>
              <w:rPr>
                <w:rFonts w:hint="eastAsia" w:eastAsia="仿宋_GB2312"/>
                <w:color w:val="000000"/>
                <w:sz w:val="24"/>
              </w:rPr>
              <w:t>个左右）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rPr>
            </w:pPr>
            <w:r>
              <w:rPr>
                <w:rFonts w:hint="eastAsia" w:eastAsia="仿宋_GB2312"/>
                <w:color w:val="000000"/>
                <w:sz w:val="24"/>
              </w:rPr>
              <w:t>骨干专业的建设规划与实施方案；各级财政资金支持力度；骨干专业布点及规模情况，骨干专业的校内外实验实训基地、师资队伍建设情况，专兼职教师的教学、科研、企业实践与技术服务情况，骨干专业招生及就业创业情况，骨干专业师生在省级及以上各类大赛获奖情况等。</w:t>
            </w:r>
          </w:p>
        </w:tc>
        <w:tc>
          <w:tcPr>
            <w:tcW w:w="5386" w:type="dxa"/>
            <w:gridSpan w:val="2"/>
            <w:tcBorders>
              <w:top w:val="single" w:color="auto" w:sz="4" w:space="0"/>
              <w:left w:val="nil"/>
              <w:bottom w:val="single" w:color="auto" w:sz="4" w:space="0"/>
              <w:right w:val="single" w:color="auto" w:sz="4" w:space="0"/>
            </w:tcBorders>
            <w:vAlign w:val="top"/>
          </w:tcPr>
          <w:p>
            <w:pPr>
              <w:adjustRightInd w:val="0"/>
              <w:snapToGrid w:val="0"/>
              <w:spacing w:after="200" w:line="273" w:lineRule="auto"/>
              <w:rPr>
                <w:rFonts w:hint="eastAsia" w:eastAsia="仿宋_GB2312"/>
                <w:color w:val="000000"/>
                <w:sz w:val="24"/>
              </w:rPr>
            </w:pPr>
            <w:r>
              <w:rPr>
                <w:rFonts w:hint="eastAsia" w:eastAsia="仿宋_GB2312"/>
                <w:color w:val="000000"/>
                <w:sz w:val="24"/>
              </w:rPr>
              <w:t>宋君远、贾会星、张信群、朱宝、王起、吴昌雨、周玲玲、冯巧红</w:t>
            </w: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XM-2</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ind w:firstLine="480" w:firstLineChars="200"/>
              <w:rPr>
                <w:rFonts w:eastAsia="仿宋_GB2312"/>
                <w:color w:val="000000"/>
                <w:sz w:val="24"/>
              </w:rPr>
            </w:pPr>
            <w:r>
              <w:rPr>
                <w:rFonts w:hint="eastAsia" w:eastAsia="仿宋_GB2312"/>
                <w:color w:val="000000"/>
                <w:sz w:val="24"/>
              </w:rPr>
              <w:t>校企共建的生产性实训基地建设（</w:t>
            </w:r>
            <w:r>
              <w:rPr>
                <w:rFonts w:eastAsia="仿宋_GB2312"/>
                <w:color w:val="000000"/>
                <w:sz w:val="24"/>
              </w:rPr>
              <w:t>1200</w:t>
            </w:r>
            <w:r>
              <w:rPr>
                <w:rFonts w:hint="eastAsia" w:eastAsia="仿宋_GB2312"/>
                <w:color w:val="000000"/>
                <w:sz w:val="24"/>
              </w:rPr>
              <w:t>个左右）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rPr>
            </w:pPr>
            <w:r>
              <w:rPr>
                <w:rFonts w:hint="eastAsia" w:eastAsia="仿宋_GB2312"/>
                <w:color w:val="000000"/>
                <w:sz w:val="24"/>
              </w:rPr>
              <w:t>校企共建生产性实训基地的建设规划与实施方案；各级财政资金支持力度；学校和企业投入资金、场地、设备的规模，基地专兼职教师队伍建设及支持学生开展创新创业活动情况，实训基地开展教学、培训、鉴定及技术研发、成果转化情况等。</w:t>
            </w:r>
          </w:p>
        </w:tc>
        <w:tc>
          <w:tcPr>
            <w:tcW w:w="5386" w:type="dxa"/>
            <w:gridSpan w:val="2"/>
            <w:tcBorders>
              <w:top w:val="single" w:color="auto" w:sz="4" w:space="0"/>
              <w:left w:val="nil"/>
              <w:bottom w:val="single" w:color="auto" w:sz="4" w:space="0"/>
              <w:right w:val="single" w:color="auto" w:sz="4" w:space="0"/>
            </w:tcBorders>
            <w:vAlign w:val="top"/>
          </w:tcPr>
          <w:p>
            <w:pPr>
              <w:adjustRightInd w:val="0"/>
              <w:snapToGrid w:val="0"/>
              <w:spacing w:after="200" w:line="273" w:lineRule="auto"/>
              <w:rPr>
                <w:rFonts w:hint="eastAsia" w:eastAsia="仿宋_GB2312"/>
                <w:color w:val="000000"/>
                <w:sz w:val="24"/>
              </w:rPr>
            </w:pPr>
            <w:r>
              <w:rPr>
                <w:rFonts w:hint="eastAsia" w:eastAsia="仿宋_GB2312"/>
                <w:color w:val="000000"/>
                <w:sz w:val="24"/>
              </w:rPr>
              <w:t>廖玉松、江生泉</w:t>
            </w: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XM-3</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优质专科高等职业院校建设（</w:t>
            </w:r>
            <w:r>
              <w:rPr>
                <w:rFonts w:eastAsia="仿宋_GB2312"/>
                <w:color w:val="000000"/>
                <w:sz w:val="24"/>
              </w:rPr>
              <w:t>200</w:t>
            </w:r>
            <w:r>
              <w:rPr>
                <w:rFonts w:hint="eastAsia" w:eastAsia="仿宋_GB2312"/>
                <w:color w:val="000000"/>
                <w:sz w:val="24"/>
              </w:rPr>
              <w:t>所左右）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rPr>
            </w:pPr>
            <w:r>
              <w:rPr>
                <w:rFonts w:hint="eastAsia" w:eastAsia="仿宋_GB2312"/>
                <w:color w:val="000000"/>
                <w:sz w:val="24"/>
              </w:rPr>
              <w:t>优质专科高等职业院校建设规划与实施方案；各级财政资金支持力度；学校内外实训基地、师资队伍建设的情况，招生、就业与创业情况；学校技术服务、社会培训及国际交流合作的情况，省级及以上重点专业建设和教学名师、教学成果、科研成果、专业教学资源库、精品在线开放课程、教材、师生参赛获奖情况等。</w:t>
            </w:r>
          </w:p>
        </w:tc>
        <w:tc>
          <w:tcPr>
            <w:tcW w:w="5386" w:type="dxa"/>
            <w:gridSpan w:val="2"/>
            <w:tcBorders>
              <w:top w:val="single" w:color="auto" w:sz="4" w:space="0"/>
              <w:left w:val="nil"/>
              <w:bottom w:val="single" w:color="auto" w:sz="4" w:space="0"/>
              <w:right w:val="single" w:color="auto" w:sz="4" w:space="0"/>
            </w:tcBorders>
            <w:vAlign w:val="top"/>
          </w:tcPr>
          <w:p>
            <w:pPr>
              <w:adjustRightInd w:val="0"/>
              <w:snapToGrid w:val="0"/>
              <w:spacing w:after="200" w:line="273" w:lineRule="auto"/>
              <w:rPr>
                <w:rFonts w:hint="eastAsia" w:eastAsia="仿宋_GB2312"/>
                <w:color w:val="000000"/>
                <w:sz w:val="24"/>
              </w:rPr>
            </w:pPr>
            <w:r>
              <w:rPr>
                <w:rFonts w:hint="eastAsia" w:eastAsia="仿宋_GB2312"/>
                <w:color w:val="000000"/>
                <w:sz w:val="24"/>
              </w:rPr>
              <w:t>张延义</w:t>
            </w: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XM-4</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“双师型”教师培养培训基地建设（</w:t>
            </w:r>
            <w:r>
              <w:rPr>
                <w:rFonts w:eastAsia="仿宋_GB2312"/>
                <w:color w:val="000000"/>
                <w:sz w:val="24"/>
              </w:rPr>
              <w:t>500</w:t>
            </w:r>
            <w:r>
              <w:rPr>
                <w:rFonts w:hint="eastAsia" w:eastAsia="仿宋_GB2312"/>
                <w:color w:val="000000"/>
                <w:sz w:val="24"/>
              </w:rPr>
              <w:t>个左右）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rPr>
            </w:pPr>
            <w:r>
              <w:rPr>
                <w:rFonts w:hint="eastAsia" w:eastAsia="仿宋_GB2312"/>
                <w:color w:val="000000"/>
                <w:sz w:val="24"/>
              </w:rPr>
              <w:t>“双师型”教师培养培训基地的建设规划与实施方案；各级财政资金支持力度；培训基地场地、专职人员、设备配备情况，基地专兼职教师队伍建设情况，培训情况及取得成效等。</w:t>
            </w:r>
          </w:p>
        </w:tc>
        <w:tc>
          <w:tcPr>
            <w:tcW w:w="5386" w:type="dxa"/>
            <w:gridSpan w:val="2"/>
            <w:tcBorders>
              <w:top w:val="single" w:color="auto" w:sz="4" w:space="0"/>
              <w:left w:val="nil"/>
              <w:bottom w:val="single" w:color="auto" w:sz="4" w:space="0"/>
              <w:right w:val="single" w:color="auto" w:sz="4" w:space="0"/>
            </w:tcBorders>
            <w:vAlign w:val="top"/>
          </w:tcPr>
          <w:p>
            <w:pPr>
              <w:adjustRightInd w:val="0"/>
              <w:snapToGrid w:val="0"/>
              <w:spacing w:after="200" w:line="273" w:lineRule="auto"/>
              <w:rPr>
                <w:rFonts w:hint="eastAsia" w:eastAsia="仿宋_GB2312"/>
                <w:color w:val="000000"/>
                <w:sz w:val="24"/>
              </w:rPr>
            </w:pPr>
            <w:r>
              <w:rPr>
                <w:rFonts w:hint="eastAsia" w:eastAsia="仿宋_GB2312"/>
                <w:color w:val="000000"/>
                <w:sz w:val="24"/>
              </w:rPr>
              <w:t>朱永祥</w:t>
            </w:r>
          </w:p>
        </w:tc>
      </w:tr>
      <w:tr>
        <w:tblPrEx>
          <w:tblLayout w:type="fixed"/>
          <w:tblCellMar>
            <w:top w:w="0" w:type="dxa"/>
            <w:left w:w="108" w:type="dxa"/>
            <w:bottom w:w="0" w:type="dxa"/>
            <w:right w:w="108" w:type="dxa"/>
          </w:tblCellMar>
        </w:tblPrEx>
        <w:trPr>
          <w:trHeight w:val="983"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XM-6</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立项建设省级高等职业教育专业教学资源库（</w:t>
            </w:r>
            <w:r>
              <w:rPr>
                <w:rFonts w:eastAsia="仿宋_GB2312"/>
                <w:color w:val="000000"/>
                <w:sz w:val="24"/>
              </w:rPr>
              <w:t>200</w:t>
            </w:r>
            <w:r>
              <w:rPr>
                <w:rFonts w:hint="eastAsia" w:eastAsia="仿宋_GB2312"/>
                <w:color w:val="000000"/>
                <w:sz w:val="24"/>
              </w:rPr>
              <w:t>个左右）和精品在线开放课程（</w:t>
            </w:r>
            <w:r>
              <w:rPr>
                <w:rFonts w:eastAsia="仿宋_GB2312"/>
                <w:color w:val="000000"/>
                <w:sz w:val="24"/>
              </w:rPr>
              <w:t>1000</w:t>
            </w:r>
            <w:r>
              <w:rPr>
                <w:rFonts w:hint="eastAsia" w:eastAsia="仿宋_GB2312"/>
                <w:color w:val="000000"/>
                <w:sz w:val="24"/>
              </w:rPr>
              <w:t>门左右）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rPr>
            </w:pPr>
            <w:r>
              <w:rPr>
                <w:rFonts w:hint="eastAsia" w:eastAsia="仿宋_GB2312"/>
                <w:color w:val="000000"/>
                <w:sz w:val="24"/>
              </w:rPr>
              <w:t>省级职业教育专业教学资源库和省级精品在线开放课程的建设规划与实施方案；各级财政资金支持力度；建设项目资源容量、资源形态、资源更新、用户数、访问量以及资源使用和推广成效等。</w:t>
            </w:r>
          </w:p>
        </w:tc>
        <w:tc>
          <w:tcPr>
            <w:tcW w:w="5386" w:type="dxa"/>
            <w:gridSpan w:val="2"/>
            <w:tcBorders>
              <w:top w:val="single" w:color="auto" w:sz="4" w:space="0"/>
              <w:left w:val="nil"/>
              <w:bottom w:val="single" w:color="auto" w:sz="4" w:space="0"/>
              <w:right w:val="single" w:color="auto" w:sz="4" w:space="0"/>
            </w:tcBorders>
            <w:vAlign w:val="top"/>
          </w:tcPr>
          <w:p>
            <w:pPr>
              <w:adjustRightInd w:val="0"/>
              <w:snapToGrid w:val="0"/>
              <w:spacing w:after="200" w:line="273" w:lineRule="auto"/>
              <w:rPr>
                <w:rFonts w:hint="eastAsia" w:eastAsia="仿宋_GB2312"/>
                <w:color w:val="000000"/>
                <w:sz w:val="24"/>
              </w:rPr>
            </w:pPr>
            <w:r>
              <w:rPr>
                <w:rFonts w:hint="eastAsia" w:eastAsia="仿宋_GB2312"/>
                <w:color w:val="000000"/>
                <w:sz w:val="24"/>
              </w:rPr>
              <w:t>杨思国、廖玉松</w:t>
            </w: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XM-8</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建设一批骨干职业教育集团（</w:t>
            </w:r>
            <w:r>
              <w:rPr>
                <w:rFonts w:eastAsia="仿宋_GB2312"/>
                <w:color w:val="000000"/>
                <w:sz w:val="24"/>
              </w:rPr>
              <w:t>180</w:t>
            </w:r>
            <w:r>
              <w:rPr>
                <w:rFonts w:hint="eastAsia" w:eastAsia="仿宋_GB2312"/>
                <w:color w:val="000000"/>
                <w:sz w:val="24"/>
              </w:rPr>
              <w:t>个左右）；遴选</w:t>
            </w:r>
            <w:r>
              <w:rPr>
                <w:rFonts w:eastAsia="仿宋_GB2312"/>
                <w:color w:val="000000"/>
                <w:sz w:val="24"/>
              </w:rPr>
              <w:t>10</w:t>
            </w:r>
            <w:r>
              <w:rPr>
                <w:rFonts w:hint="eastAsia" w:eastAsia="仿宋_GB2312"/>
                <w:color w:val="000000"/>
                <w:sz w:val="24"/>
              </w:rPr>
              <w:t>个省份开展多元投入主体依法共建职业教育集团的改革试点</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rPr>
            </w:pPr>
            <w:r>
              <w:rPr>
                <w:rFonts w:hint="eastAsia" w:eastAsia="仿宋_GB2312"/>
                <w:color w:val="000000"/>
                <w:sz w:val="24"/>
              </w:rPr>
              <w:t>骨干职业教育集团的建设规划与实施方案；各级财政支持力度；集团的组织机构、成员构成、体制机制建设及工作开展情况，集团在职教体系建设、专业建设、学生培养与就业、师资队伍建设、实训基地建设、社会服务能力、技术技能积累与转化等方面的成效。</w:t>
            </w:r>
          </w:p>
        </w:tc>
        <w:tc>
          <w:tcPr>
            <w:tcW w:w="5386" w:type="dxa"/>
            <w:gridSpan w:val="2"/>
            <w:tcBorders>
              <w:top w:val="single" w:color="auto" w:sz="4" w:space="0"/>
              <w:left w:val="nil"/>
              <w:bottom w:val="single" w:color="auto" w:sz="4" w:space="0"/>
              <w:right w:val="single" w:color="auto" w:sz="4" w:space="0"/>
            </w:tcBorders>
            <w:vAlign w:val="top"/>
          </w:tcPr>
          <w:p>
            <w:pPr>
              <w:adjustRightInd w:val="0"/>
              <w:snapToGrid w:val="0"/>
              <w:spacing w:after="200" w:line="273" w:lineRule="auto"/>
              <w:rPr>
                <w:rFonts w:hint="eastAsia" w:eastAsia="仿宋_GB2312"/>
                <w:color w:val="000000"/>
                <w:sz w:val="24"/>
              </w:rPr>
            </w:pPr>
            <w:r>
              <w:rPr>
                <w:rFonts w:hint="eastAsia" w:eastAsia="仿宋_GB2312"/>
                <w:color w:val="000000"/>
                <w:sz w:val="24"/>
              </w:rPr>
              <w:t>李超</w:t>
            </w: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XM-11</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支持公办高等职业院校和企业合作举办适用公办学校政策、具有混合所有制特征的二级学院（</w:t>
            </w:r>
            <w:r>
              <w:rPr>
                <w:rFonts w:eastAsia="仿宋_GB2312"/>
                <w:color w:val="000000"/>
                <w:sz w:val="24"/>
              </w:rPr>
              <w:t>100</w:t>
            </w:r>
            <w:r>
              <w:rPr>
                <w:rFonts w:hint="eastAsia" w:eastAsia="仿宋_GB2312"/>
                <w:color w:val="000000"/>
                <w:sz w:val="24"/>
              </w:rPr>
              <w:t>个左右）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rPr>
            </w:pPr>
            <w:r>
              <w:rPr>
                <w:rFonts w:hint="eastAsia" w:eastAsia="仿宋_GB2312"/>
                <w:color w:val="000000"/>
                <w:sz w:val="24"/>
              </w:rPr>
              <w:t>建设具有混合所有制特征二级学院的相关政策措施；各级财政资金支持力度；混合所有制特征的二级学院体制机制建设及运行情况，合作企业人、财、物投入情况，办学规模及人才培养、招生就业、社会服务等方面的成效。</w:t>
            </w:r>
          </w:p>
        </w:tc>
        <w:tc>
          <w:tcPr>
            <w:tcW w:w="5386" w:type="dxa"/>
            <w:gridSpan w:val="2"/>
            <w:tcBorders>
              <w:top w:val="single" w:color="auto" w:sz="4" w:space="0"/>
              <w:left w:val="nil"/>
              <w:bottom w:val="single" w:color="auto" w:sz="4" w:space="0"/>
              <w:right w:val="single" w:color="auto" w:sz="4" w:space="0"/>
            </w:tcBorders>
            <w:vAlign w:val="top"/>
          </w:tcPr>
          <w:p>
            <w:pPr>
              <w:adjustRightInd w:val="0"/>
              <w:snapToGrid w:val="0"/>
              <w:spacing w:after="200" w:line="273" w:lineRule="auto"/>
              <w:rPr>
                <w:rFonts w:hint="eastAsia" w:eastAsia="仿宋_GB2312"/>
                <w:color w:val="000000"/>
                <w:sz w:val="24"/>
              </w:rPr>
            </w:pPr>
            <w:r>
              <w:rPr>
                <w:rFonts w:hint="eastAsia" w:eastAsia="仿宋_GB2312"/>
                <w:color w:val="000000"/>
                <w:sz w:val="24"/>
              </w:rPr>
              <w:t>翁嘉晨</w:t>
            </w: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XM-15</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开展现代学徒制试点（</w:t>
            </w:r>
            <w:r>
              <w:rPr>
                <w:rFonts w:eastAsia="仿宋_GB2312"/>
                <w:color w:val="000000"/>
                <w:sz w:val="24"/>
              </w:rPr>
              <w:t>500</w:t>
            </w:r>
            <w:r>
              <w:rPr>
                <w:rFonts w:hint="eastAsia" w:eastAsia="仿宋_GB2312"/>
                <w:color w:val="000000"/>
                <w:sz w:val="24"/>
              </w:rPr>
              <w:t>个左右），校企共建以现代学徒制培养为主的特色学院</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sz w:val="24"/>
              </w:rPr>
            </w:pPr>
            <w:r>
              <w:rPr>
                <w:rFonts w:hint="eastAsia" w:eastAsia="仿宋_GB2312"/>
                <w:color w:val="000000"/>
                <w:sz w:val="24"/>
              </w:rPr>
              <w:t>支持现代学徒制试点工作相关政策措施；各级财政资金支持力度；校企协同育人机制、招生招工一体化、人才培养制度和标准、校企互聘共用师资队伍、激励与保障机制等实施情况，以现代学徒制培养为主的特色学院体制机制建设及运行情况等。</w:t>
            </w:r>
          </w:p>
        </w:tc>
        <w:tc>
          <w:tcPr>
            <w:tcW w:w="5386" w:type="dxa"/>
            <w:gridSpan w:val="2"/>
            <w:tcBorders>
              <w:top w:val="single" w:color="auto" w:sz="4" w:space="0"/>
              <w:left w:val="nil"/>
              <w:bottom w:val="single" w:color="auto" w:sz="4" w:space="0"/>
              <w:right w:val="single" w:color="auto" w:sz="4" w:space="0"/>
            </w:tcBorders>
            <w:vAlign w:val="top"/>
          </w:tcPr>
          <w:p>
            <w:pPr>
              <w:adjustRightInd w:val="0"/>
              <w:snapToGrid w:val="0"/>
              <w:spacing w:after="200" w:line="273" w:lineRule="auto"/>
              <w:rPr>
                <w:rFonts w:hint="eastAsia" w:eastAsia="仿宋_GB2312"/>
                <w:color w:val="000000"/>
                <w:sz w:val="24"/>
              </w:rPr>
            </w:pPr>
            <w:r>
              <w:rPr>
                <w:rFonts w:hint="eastAsia" w:eastAsia="仿宋_GB2312"/>
                <w:color w:val="000000"/>
                <w:sz w:val="24"/>
              </w:rPr>
              <w:t>燕相松</w:t>
            </w: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rPr>
            </w:pPr>
            <w:r>
              <w:rPr>
                <w:rFonts w:eastAsia="仿宋_GB2312"/>
                <w:color w:val="000000"/>
                <w:sz w:val="24"/>
              </w:rPr>
              <w:t>XM-17</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rPr>
            </w:pPr>
            <w:r>
              <w:rPr>
                <w:rFonts w:hint="eastAsia" w:eastAsia="仿宋_GB2312"/>
                <w:color w:val="000000"/>
                <w:sz w:val="24"/>
              </w:rPr>
              <w:t>与技艺大师、非物质文化遗产传承人等合作建立技能大师工作室（</w:t>
            </w:r>
            <w:r>
              <w:rPr>
                <w:rFonts w:eastAsia="仿宋_GB2312"/>
                <w:color w:val="000000"/>
                <w:sz w:val="24"/>
              </w:rPr>
              <w:t>100</w:t>
            </w:r>
            <w:r>
              <w:rPr>
                <w:rFonts w:hint="eastAsia" w:eastAsia="仿宋_GB2312"/>
                <w:color w:val="000000"/>
                <w:sz w:val="24"/>
              </w:rPr>
              <w:t>个左右）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sz w:val="24"/>
              </w:rPr>
            </w:pPr>
            <w:r>
              <w:rPr>
                <w:rFonts w:hint="eastAsia" w:eastAsia="仿宋_GB2312"/>
                <w:color w:val="000000"/>
                <w:sz w:val="24"/>
              </w:rPr>
              <w:t>与技艺大师、非物质文化遗产传承人等合作建立技能大师工作室的建设规划与实施方案；各级财政资金支持力度；开展科技攻关、技术及技艺革新、绝技绝活推广等的情况，面向院校、企业、社区开展研修、培训、交流活动情况等。</w:t>
            </w:r>
          </w:p>
        </w:tc>
        <w:tc>
          <w:tcPr>
            <w:tcW w:w="5386" w:type="dxa"/>
            <w:gridSpan w:val="2"/>
            <w:tcBorders>
              <w:top w:val="single" w:color="auto" w:sz="4" w:space="0"/>
              <w:left w:val="nil"/>
              <w:bottom w:val="single" w:color="auto" w:sz="4" w:space="0"/>
              <w:right w:val="single" w:color="auto" w:sz="4" w:space="0"/>
            </w:tcBorders>
            <w:vAlign w:val="top"/>
          </w:tcPr>
          <w:p>
            <w:pPr>
              <w:adjustRightInd w:val="0"/>
              <w:snapToGrid w:val="0"/>
              <w:spacing w:after="200" w:line="273" w:lineRule="auto"/>
              <w:rPr>
                <w:rFonts w:hint="eastAsia" w:eastAsia="仿宋_GB2312"/>
                <w:color w:val="000000"/>
                <w:sz w:val="24"/>
              </w:rPr>
            </w:pPr>
            <w:r>
              <w:rPr>
                <w:rFonts w:hint="eastAsia" w:eastAsia="仿宋_GB2312"/>
                <w:color w:val="000000"/>
                <w:sz w:val="24"/>
              </w:rPr>
              <w:t>涂清芳</w:t>
            </w:r>
          </w:p>
        </w:tc>
      </w:tr>
    </w:tbl>
    <w:p>
      <w:pPr>
        <w:rPr>
          <w:rFonts w:hint="eastAsia"/>
          <w:sz w:val="32"/>
          <w:szCs w:val="32"/>
        </w:rPr>
      </w:pPr>
    </w:p>
    <w:p/>
    <w:sectPr>
      <w:footerReference r:id="rId3" w:type="default"/>
      <w:pgSz w:w="16838" w:h="11906" w:orient="landscape"/>
      <w:pgMar w:top="1797" w:right="1440" w:bottom="1797"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- 3 -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F1220"/>
    <w:rsid w:val="1F0F12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2017-03-17T07:54:00Z</dcterms:created>
  <dc:creator>Administrator</dc:creator>
  <cp:lastModifiedBy>Administrator</cp:lastModifiedBy>
  <dcterms:modified xsi:type="dcterms:W3CDTF">2017-03-17T07:54:54Z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